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65" w:rsidRDefault="008B6D79" w:rsidP="001A4972">
      <w:pPr>
        <w:spacing w:before="240" w:after="120"/>
        <w:jc w:val="both"/>
      </w:pPr>
      <w:bookmarkStart w:id="0" w:name="_GoBack"/>
      <w:bookmarkEnd w:id="0"/>
      <w:r w:rsidRPr="00232BA3">
        <w:rPr>
          <w:sz w:val="28"/>
          <w:szCs w:val="28"/>
        </w:rPr>
        <w:t>W</w:t>
      </w:r>
      <w:r>
        <w:t xml:space="preserve">elding </w:t>
      </w:r>
      <w:r w:rsidR="00232BA3" w:rsidRPr="00232BA3">
        <w:rPr>
          <w:sz w:val="32"/>
          <w:szCs w:val="32"/>
        </w:rPr>
        <w:t>E</w:t>
      </w:r>
      <w:r>
        <w:t xml:space="preserve">ngineering is a very complex </w:t>
      </w:r>
      <w:r w:rsidR="00D17ED1">
        <w:t xml:space="preserve">engineering discipline </w:t>
      </w:r>
      <w:r>
        <w:t>that</w:t>
      </w:r>
      <w:r w:rsidR="00D17ED1">
        <w:t xml:space="preserve"> requires a proficiency penetrating </w:t>
      </w:r>
      <w:r>
        <w:t xml:space="preserve">well beyond the bounds of its simple description. </w:t>
      </w:r>
    </w:p>
    <w:p w:rsidR="00B214AA" w:rsidRDefault="00D97707" w:rsidP="00232BA3">
      <w:pPr>
        <w:spacing w:after="120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-83185</wp:posOffset>
                </wp:positionH>
                <wp:positionV relativeFrom="paragraph">
                  <wp:posOffset>1336675</wp:posOffset>
                </wp:positionV>
                <wp:extent cx="1897380" cy="13792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7380" cy="1379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14AA" w:rsidRPr="003D7DF2" w:rsidRDefault="00B214A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D7DF2"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99260" cy="1273600"/>
                                  <wp:effectExtent l="0" t="0" r="0" b="3175"/>
                                  <wp:docPr id="4" name="Picture 4" descr="The power of stars to meet our energy needs? This is something to be  excited about | Arthur Turrell | The Guardi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he power of stars to meet our energy needs? This is something to be  excited about | Arthur Turrell | The Guardi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4585" cy="1322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55pt;margin-top:105.25pt;width:149.4pt;height:10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+xOAIAAGsEAAAOAAAAZHJzL2Uyb0RvYy54bWysVF1v2jAUfZ+0/2D5fQQCbSEiVKwV0yTU&#10;VoKqz8axSTTH17MNCfv1u3YCRd2epr04tu/x/Tjn3szv21qRo7CuAp3T0WBIidAcikrvc/q6XX2Z&#10;UuI80wVToEVOT8LR+8XnT/PGZCKFElQhLEEn2mWNyWnpvcmSxPFS1MwNwAiNRgm2Zh6Pdp8UljXo&#10;vVZJOhzeJg3Ywljgwjm8feyMdBH9Sym4f5bSCU9UTjE3H1cb111Yk8WcZXvLTFnxPg32D1nUrNIY&#10;9OLqkXlGDrb6w1VdcQsOpB9wqBOQsuIi1oDVjIYfqtmUzIhYC5LjzIUm9//c8qfjiyVVkdOUEs1q&#10;lGgrWk++QkvSwE5jXIagjUGYb/EaVY6VOrMG/sMhJLnCdA8cogMbrbR1+GKdBB+iAKcL6SEKD96m&#10;s7vxFE0cbaPx3SxNoyzJ+3Njnf8moCZhk1OLqsYU2HHtfEiAZWdIiKZhVSkVlVWaNDm9Hd8M44OL&#10;BV8o3WfeJRtq8O2u7UveQXHCii10HeMMX1UYfM2cf2EWWwQTxrb3z7hIBRgE+h0lJdhff7sPeFQO&#10;rZQ02HI5dT8PzApK1HeNms5Gk0no0XiY3NwhD8ReW3bXFn2oHwC7eoQDZnjcBrxX5620UL/hdCxD&#10;VDQxzTF2Tv15++C7QcDp4mK5jCDsSsP8Wm8MPwsdqN22b8yann+P0j3BuTlZ9kGGDtsJsTx4kFXU&#10;KBDcsdrzjh0dpeunL4zM9Tmi3v8Ri98AAAD//wMAUEsDBBQABgAIAAAAIQCkSOt/4gAAAAsBAAAP&#10;AAAAZHJzL2Rvd25yZXYueG1sTI/LTsMwEEX3SPyDNUjsWieBkijNpKoQbJAQaqmEupvGJg74EWy3&#10;DX+PWcFydI/uPdOsJqPZSfowOIuQzzNg0nZODLZH2L0+zipgIZIVpJ2VCN8ywKq9vGioFu5sN/K0&#10;jT1LJTbUhKBiHGvOQ6ekoTB3o7Qpe3feUEyn77nwdE7lRvMiy+64ocGmBUWjvFey+9weDUJZ7YX6&#10;8E/T7u15/aVeRq4fiCNeX03rJbAop/gHw69+Uoc2OR3c0YrANMIsv8kTilDk2QJYIopqUQI7INwW&#10;ZQm8bfj/H9ofAAAA//8DAFBLAQItABQABgAIAAAAIQC2gziS/gAAAOEBAAATAAAAAAAAAAAAAAAA&#10;AAAAAABbQ29udGVudF9UeXBlc10ueG1sUEsBAi0AFAAGAAgAAAAhADj9If/WAAAAlAEAAAsAAAAA&#10;AAAAAAAAAAAALwEAAF9yZWxzLy5yZWxzUEsBAi0AFAAGAAgAAAAhABTZf7E4AgAAawQAAA4AAAAA&#10;AAAAAAAAAAAALgIAAGRycy9lMm9Eb2MueG1sUEsBAi0AFAAGAAgAAAAhAKRI63/iAAAACwEAAA8A&#10;AAAAAAAAAAAAAAAAkgQAAGRycy9kb3ducmV2LnhtbFBLBQYAAAAABAAEAPMAAAChBQAAAAA=&#10;" filled="f" stroked="f" strokeweight=".5pt">
                <v:path arrowok="t"/>
                <v:textbox>
                  <w:txbxContent>
                    <w:p w:rsidR="00B214AA" w:rsidRPr="003D7DF2" w:rsidRDefault="00B214AA">
                      <w:pPr>
                        <w:rPr>
                          <w:color w:val="FFFFFF" w:themeColor="background1"/>
                        </w:rPr>
                      </w:pPr>
                      <w:r w:rsidRPr="003D7DF2">
                        <w:rPr>
                          <w:noProof/>
                          <w:color w:val="FFFFFF" w:themeColor="background1"/>
                          <w:lang w:eastAsia="en-GB"/>
                        </w:rPr>
                        <w:drawing>
                          <wp:inline distT="0" distB="0" distL="0" distR="0">
                            <wp:extent cx="1699260" cy="1273600"/>
                            <wp:effectExtent l="0" t="0" r="0" b="3175"/>
                            <wp:docPr id="4" name="Picture 4" descr="The power of stars to meet our energy needs? This is something to be  excited about | Arthur Turrell | The Guardi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The power of stars to meet our energy needs? This is something to be  excited about | Arthur Turrell | The Guardi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4585" cy="1322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301240" cy="132588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1240" cy="132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14AA" w:rsidRDefault="00B214A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04060" cy="1333671"/>
                                  <wp:effectExtent l="0" t="0" r="0" b="0"/>
                                  <wp:docPr id="6" name="Picture 6" descr="BE-Tag: Tracking reactor welds - Nuclear Engineering Internatio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E-Tag: Tracking reactor welds - Nuclear Engineering Internatio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075" cy="1338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30pt;margin-top:.85pt;width:181.2pt;height:104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C+NwIAAHIEAAAOAAAAZHJzL2Uyb0RvYy54bWysVN1v2jAQf5+0/8Hy+8gH0NGIULFWTJNQ&#10;WwmmPhvHhmixz7MNSffX7+wEiro9TXtxzr7fff7uMr/rVENOwroadEmzUUqJ0ByqWu9L+n27+jSj&#10;xHmmK9aAFiV9FY7eLT5+mLemEDkcoKmEJehEu6I1JT14b4okcfwgFHMjMEKjUoJVzOPV7pPKsha9&#10;qybJ0/QmacFWxgIXzuHrQ6+ki+hfSsH9k5ROeNKUFHPz8bTx3IUzWcxZsbfMHGo+pMH+IQvFao1B&#10;L64emGfkaOs/XKmaW3Ag/YiDSkDKmotYA1aTpe+q2RyYEbEWbI4zlza5/+eWP56eLakr5I4SzRRS&#10;tBWdJ1+gI1noTmtcgaCNQZjv8DkgQ6XOrIH/cAhJrjC9gUN0wHTSqvDFOgkaIgGvl6aHKBwf83Ga&#10;5RNUcdRl43w6m0VakjdzY53/KkCRIJTUIqsxBXZaOx8SYMUZEqJpWNVNE5ltNGlLejOeptHgokGL&#10;Rg+Z98mGGny364ZeDJXvoHrFwi30g+MMX9WYw5o5/8wsTgrmjdPvn/CQDWAsGCRKDmB//e094JFA&#10;1FLS4uSV1P08Misoab5ppPY2m4R2+HiZTD/neLHXmt21Rh/VPeBwI32YXRQD3jdnUVpQL7gkyxAV&#10;VUxzjF1Sfxbvfb8PuGRcLJcRhMNpmF/rjeFnvkOHt90Ls2agwSODj3CeUVa8Y6PH9nwsjx5kHakK&#10;fe67OrQfBzsyOCxh2Jzre0S9/SoWvwEAAP//AwBQSwMEFAAGAAgAAAAhAFV6+v7dAAAABgEAAA8A&#10;AABkcnMvZG93bnJldi54bWxMj81OwzAQhO9IvIO1SNyo0wBtlcapKgQXJIQolRC3bbyNA/4JttuG&#10;t2c5wXFnRjPf1qvRWXGkmPrgFUwnBQjybdC97xRsXx+uFiBSRq/RBk8KvinBqjk/q7HS4eRf6LjJ&#10;neASnypUYHIeKilTa8hhmoSBPHv7EB1mPmMndcQTlzsry6KYSYe95wWDA90Zaj83B6dgvnjX5iM+&#10;jtu3p/WXeR6kvUep1OXFuF6CyDTmvzD84jM6NMy0Cwevk7AK+JHM6hwEm9ez8gbETkE5LW5BNrX8&#10;j9/8AAAA//8DAFBLAQItABQABgAIAAAAIQC2gziS/gAAAOEBAAATAAAAAAAAAAAAAAAAAAAAAABb&#10;Q29udGVudF9UeXBlc10ueG1sUEsBAi0AFAAGAAgAAAAhADj9If/WAAAAlAEAAAsAAAAAAAAAAAAA&#10;AAAALwEAAF9yZWxzLy5yZWxzUEsBAi0AFAAGAAgAAAAhADEB4L43AgAAcgQAAA4AAAAAAAAAAAAA&#10;AAAALgIAAGRycy9lMm9Eb2MueG1sUEsBAi0AFAAGAAgAAAAhAFV6+v7dAAAABgEAAA8AAAAAAAAA&#10;AAAAAAAAkQQAAGRycy9kb3ducmV2LnhtbFBLBQYAAAAABAAEAPMAAACbBQAAAAA=&#10;" filled="f" stroked="f" strokeweight=".5pt">
                <v:path arrowok="t"/>
                <v:textbox>
                  <w:txbxContent>
                    <w:p w:rsidR="00B214AA" w:rsidRDefault="00B214A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04060" cy="1333671"/>
                            <wp:effectExtent l="0" t="0" r="0" b="0"/>
                            <wp:docPr id="6" name="Picture 6" descr="BE-Tag: Tracking reactor welds - Nuclear Engineering Internatio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BE-Tag: Tracking reactor welds - Nuclear Engineering Internatio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075" cy="1338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14AA">
        <w:t xml:space="preserve">Many non-engineering personnel can be forgiven for inferring that all personnel identified as ‘welding engineers’ have the necessary skills needed to provide solutions associated with </w:t>
      </w:r>
      <w:r w:rsidR="00B214AA" w:rsidRPr="00B214AA">
        <w:rPr>
          <w:b/>
          <w:bCs/>
          <w:u w:val="single"/>
        </w:rPr>
        <w:t>ALL joining</w:t>
      </w:r>
      <w:r w:rsidR="00B214AA">
        <w:t xml:space="preserve"> methods, even if they are solely involved with </w:t>
      </w:r>
      <w:r w:rsidR="00084037">
        <w:t>metallic materials</w:t>
      </w:r>
      <w:r w:rsidR="00B214AA">
        <w:t>.  This is a very precarious situation for such personnel to find themselves faced with, especially as we move into an era where joining engineering required by the energy and transportation sectors will become a critical discipline for success.</w:t>
      </w:r>
    </w:p>
    <w:p w:rsidR="00F325DF" w:rsidRDefault="008B6D79" w:rsidP="00232BA3">
      <w:pPr>
        <w:spacing w:after="120"/>
        <w:jc w:val="both"/>
      </w:pPr>
      <w:r>
        <w:t xml:space="preserve">It has been well established that </w:t>
      </w:r>
      <w:r w:rsidR="007A0AB1">
        <w:t>welding and welding engineering</w:t>
      </w:r>
      <w:r>
        <w:t>, like so many other engineering disciplines</w:t>
      </w:r>
      <w:r w:rsidR="004556F1">
        <w:t>,</w:t>
      </w:r>
      <w:r>
        <w:t xml:space="preserve"> ha</w:t>
      </w:r>
      <w:r w:rsidR="003D7DF2">
        <w:t>s</w:t>
      </w:r>
      <w:r w:rsidR="00F325DF">
        <w:t xml:space="preserve">had to </w:t>
      </w:r>
      <w:r>
        <w:t>continuously evolve</w:t>
      </w:r>
      <w:r w:rsidR="00F325DF">
        <w:t xml:space="preserve"> in </w:t>
      </w:r>
      <w:r>
        <w:t>embrac</w:t>
      </w:r>
      <w:r w:rsidR="00F325DF">
        <w:t>ing</w:t>
      </w:r>
      <w:r>
        <w:t xml:space="preserve"> new technology</w:t>
      </w:r>
      <w:r w:rsidR="00F325DF">
        <w:t xml:space="preserve"> and methods of manufacturing,</w:t>
      </w:r>
      <w:r>
        <w:t xml:space="preserve"> to</w:t>
      </w:r>
      <w:r w:rsidR="00F325DF">
        <w:t xml:space="preserve"> not only </w:t>
      </w:r>
      <w:r w:rsidR="00FA7195">
        <w:t>expand market opportunities</w:t>
      </w:r>
      <w:r w:rsidR="00F325DF">
        <w:t xml:space="preserve">, but to simply maintain </w:t>
      </w:r>
      <w:r w:rsidR="004556F1">
        <w:t xml:space="preserve">a competitive </w:t>
      </w:r>
      <w:r w:rsidR="00F325DF">
        <w:t xml:space="preserve">status if they wish to stay in business. </w:t>
      </w:r>
    </w:p>
    <w:p w:rsidR="00232BA3" w:rsidRDefault="00232BA3" w:rsidP="003D7DF2">
      <w:pPr>
        <w:spacing w:after="120"/>
        <w:jc w:val="both"/>
      </w:pPr>
      <w:r>
        <w:t>Although the profession has, for many years, been perceived to be a grim, fume-filled, uncomfortable environment to work within, the demand to deliver improved structural performance</w:t>
      </w:r>
      <w:r w:rsidR="003D7DF2">
        <w:t xml:space="preserve">, </w:t>
      </w:r>
      <w:r w:rsidR="00C924E8">
        <w:t xml:space="preserve">on-time and </w:t>
      </w:r>
      <w:r w:rsidR="003D7DF2">
        <w:t>at a reduced cost</w:t>
      </w:r>
      <w:r>
        <w:t xml:space="preserve"> is now forcing a significant change.</w:t>
      </w:r>
      <w:r w:rsidR="003A0C6E">
        <w:t xml:space="preserve">Students and practitioners who pursue the industry recognised welding engineering diplomas (EWS/IWS, EWT/IWT and EWE/IWE) will be provided with the basic tools to </w:t>
      </w:r>
      <w:r w:rsidR="007A0AB1">
        <w:t>support</w:t>
      </w:r>
      <w:r w:rsidR="003A0C6E">
        <w:t xml:space="preserve"> industry </w:t>
      </w:r>
      <w:r w:rsidR="00C924E8">
        <w:t>and</w:t>
      </w:r>
      <w:r w:rsidR="003A0C6E">
        <w:t xml:space="preserve"> underpin their existing </w:t>
      </w:r>
      <w:r w:rsidR="00C924E8">
        <w:t>experience</w:t>
      </w:r>
      <w:r w:rsidR="003A0C6E">
        <w:t>, however, this presentation willprovid</w:t>
      </w:r>
      <w:r w:rsidR="003D7DF2">
        <w:t xml:space="preserve">e </w:t>
      </w:r>
      <w:r w:rsidR="00C924E8">
        <w:t xml:space="preserve">an </w:t>
      </w:r>
      <w:r w:rsidR="003A0C6E">
        <w:t>insight into those manufacturing engineering challenges the energy and transportation sector face</w:t>
      </w:r>
      <w:r>
        <w:t xml:space="preserve"> to achieve the net-zero target</w:t>
      </w:r>
      <w:r w:rsidR="003A0C6E">
        <w:t xml:space="preserve">, and </w:t>
      </w:r>
      <w:r w:rsidR="00C924E8">
        <w:t xml:space="preserve">provoke thoughts as to what are the wider skills sets required for </w:t>
      </w:r>
      <w:r w:rsidR="003D7DF2">
        <w:t>existing ‘welding engineers’</w:t>
      </w:r>
      <w:r w:rsidR="00C924E8">
        <w:t>to have in their toolbox in order</w:t>
      </w:r>
      <w:r w:rsidR="003A0C6E">
        <w:t>to overcome the</w:t>
      </w:r>
      <w:r w:rsidR="00277D76">
        <w:t>se hurdles</w:t>
      </w:r>
      <w:r w:rsidR="003A0C6E">
        <w:t xml:space="preserve">. </w:t>
      </w:r>
    </w:p>
    <w:p w:rsidR="00277D76" w:rsidRDefault="00277D76" w:rsidP="00E273E0">
      <w:pPr>
        <w:jc w:val="both"/>
      </w:pPr>
      <w:r>
        <w:t>As a flavour of what to expect, t</w:t>
      </w:r>
      <w:r w:rsidR="004556F1">
        <w:t xml:space="preserve">his presentation will provide an insight into </w:t>
      </w:r>
      <w:r w:rsidR="007A0AB1">
        <w:t>why</w:t>
      </w:r>
      <w:r>
        <w:t>the following</w:t>
      </w:r>
      <w:r w:rsidR="00C924E8">
        <w:t xml:space="preserve">disciplines </w:t>
      </w:r>
      <w:r w:rsidR="003D7DF2">
        <w:t xml:space="preserve">will </w:t>
      </w:r>
      <w:r w:rsidR="007A0AB1">
        <w:t xml:space="preserve">need to </w:t>
      </w:r>
      <w:r w:rsidR="003D7DF2">
        <w:t xml:space="preserve">integrate into a welding engineer’s skills </w:t>
      </w:r>
      <w:r w:rsidR="00C924E8">
        <w:t xml:space="preserve">set for </w:t>
      </w:r>
      <w:r w:rsidR="003D7DF2">
        <w:t>the future</w:t>
      </w:r>
      <w:r>
        <w:t>:</w:t>
      </w:r>
    </w:p>
    <w:p w:rsidR="00C60706" w:rsidRDefault="00C924E8" w:rsidP="00E273E0">
      <w:pPr>
        <w:pStyle w:val="ListParagraph"/>
        <w:numPr>
          <w:ilvl w:val="1"/>
          <w:numId w:val="2"/>
        </w:numPr>
        <w:jc w:val="both"/>
      </w:pPr>
      <w:r>
        <w:t>Advanced m</w:t>
      </w:r>
      <w:r w:rsidR="00C60706">
        <w:t xml:space="preserve">aterials and </w:t>
      </w:r>
      <w:r w:rsidR="00E273E0">
        <w:t>processing</w:t>
      </w:r>
      <w:r w:rsidR="00C60706">
        <w:t xml:space="preserve"> methods </w:t>
      </w:r>
    </w:p>
    <w:p w:rsidR="00C60706" w:rsidRDefault="00C924E8" w:rsidP="00E273E0">
      <w:pPr>
        <w:pStyle w:val="ListParagraph"/>
        <w:numPr>
          <w:ilvl w:val="1"/>
          <w:numId w:val="2"/>
        </w:numPr>
        <w:jc w:val="both"/>
      </w:pPr>
      <w:r>
        <w:t xml:space="preserve">Design, inspection and </w:t>
      </w:r>
      <w:r w:rsidR="00C60706">
        <w:t>joiningtechnolog</w:t>
      </w:r>
      <w:r w:rsidR="00E273E0">
        <w:t>ies</w:t>
      </w:r>
    </w:p>
    <w:p w:rsidR="00C60706" w:rsidRDefault="00C924E8" w:rsidP="00E273E0">
      <w:pPr>
        <w:pStyle w:val="ListParagraph"/>
        <w:numPr>
          <w:ilvl w:val="1"/>
          <w:numId w:val="2"/>
        </w:numPr>
        <w:jc w:val="both"/>
      </w:pPr>
      <w:r>
        <w:t>L</w:t>
      </w:r>
      <w:r w:rsidR="00C60706">
        <w:t xml:space="preserve">ife-cycle analysis </w:t>
      </w:r>
    </w:p>
    <w:p w:rsidR="00C60706" w:rsidRDefault="00C60706" w:rsidP="00E273E0">
      <w:pPr>
        <w:pStyle w:val="ListParagraph"/>
        <w:numPr>
          <w:ilvl w:val="1"/>
          <w:numId w:val="2"/>
        </w:numPr>
        <w:jc w:val="both"/>
      </w:pPr>
      <w:r>
        <w:t xml:space="preserve">Sustainability </w:t>
      </w:r>
    </w:p>
    <w:p w:rsidR="00C60706" w:rsidRDefault="00C60706" w:rsidP="00E273E0">
      <w:pPr>
        <w:pStyle w:val="ListParagraph"/>
        <w:numPr>
          <w:ilvl w:val="1"/>
          <w:numId w:val="2"/>
        </w:numPr>
        <w:jc w:val="both"/>
      </w:pPr>
      <w:r>
        <w:t>Digitalisation</w:t>
      </w:r>
    </w:p>
    <w:p w:rsidR="00C60706" w:rsidRDefault="00C60706" w:rsidP="00E273E0">
      <w:pPr>
        <w:pStyle w:val="ListParagraph"/>
        <w:numPr>
          <w:ilvl w:val="1"/>
          <w:numId w:val="2"/>
        </w:numPr>
        <w:jc w:val="both"/>
      </w:pPr>
      <w:r>
        <w:t>Modularisation</w:t>
      </w:r>
    </w:p>
    <w:p w:rsidR="00C60706" w:rsidRDefault="00C60706" w:rsidP="00232BA3">
      <w:pPr>
        <w:pStyle w:val="ListParagraph"/>
        <w:numPr>
          <w:ilvl w:val="1"/>
          <w:numId w:val="2"/>
        </w:numPr>
        <w:spacing w:after="120"/>
        <w:ind w:left="1434" w:hanging="357"/>
        <w:jc w:val="both"/>
      </w:pPr>
      <w:r>
        <w:t xml:space="preserve">Integrated systems engineering principles </w:t>
      </w:r>
    </w:p>
    <w:p w:rsidR="004556F1" w:rsidRDefault="00E273E0" w:rsidP="00232BA3">
      <w:pPr>
        <w:spacing w:after="240"/>
        <w:jc w:val="both"/>
      </w:pPr>
      <w:r>
        <w:t>T</w:t>
      </w:r>
      <w:r w:rsidR="00277D76">
        <w:t xml:space="preserve">he presenter will also share his knowledge </w:t>
      </w:r>
      <w:r>
        <w:t>of advanc</w:t>
      </w:r>
      <w:r w:rsidR="00232BA3">
        <w:t>ed</w:t>
      </w:r>
      <w:r>
        <w:t xml:space="preserve"> joining and materials engineering as part of his previous role </w:t>
      </w:r>
      <w:r w:rsidR="006B4CFB">
        <w:t>in</w:t>
      </w:r>
      <w:r w:rsidR="00277D76">
        <w:t xml:space="preserve"> leading the Nuclear AMRC’s </w:t>
      </w:r>
      <w:r w:rsidR="006B4CFB">
        <w:t xml:space="preserve">advanced </w:t>
      </w:r>
      <w:r w:rsidR="00277D76">
        <w:t>research</w:t>
      </w:r>
      <w:r>
        <w:t xml:space="preserve"> programme</w:t>
      </w:r>
      <w:r w:rsidR="006B4CFB">
        <w:t>s</w:t>
      </w:r>
      <w:r>
        <w:t>,</w:t>
      </w:r>
      <w:r w:rsidR="00277D76">
        <w:t xml:space="preserve"> along with </w:t>
      </w:r>
      <w:r>
        <w:t xml:space="preserve">his current role in leading the strategic joining </w:t>
      </w:r>
      <w:r w:rsidR="00277D76">
        <w:t>research being undertaken within the</w:t>
      </w:r>
      <w:r w:rsidR="006B4CFB">
        <w:t xml:space="preserve"> University of Sheffield and the</w:t>
      </w:r>
      <w:r w:rsidR="00277D76">
        <w:t xml:space="preserve"> high-value manufacturing catapult</w:t>
      </w:r>
      <w:r w:rsidR="007A0AB1">
        <w:t>.  Furthermore</w:t>
      </w:r>
      <w:r w:rsidR="006B4CFB">
        <w:t xml:space="preserve">,his work </w:t>
      </w:r>
      <w:r w:rsidR="007A0AB1">
        <w:t>involved with</w:t>
      </w:r>
      <w:r w:rsidR="006B4CFB">
        <w:t xml:space="preserve"> the </w:t>
      </w:r>
      <w:r w:rsidR="003E3A73">
        <w:t xml:space="preserve">research support office, part of the </w:t>
      </w:r>
      <w:r w:rsidR="00277D76">
        <w:t xml:space="preserve">Nuclear Waste Services </w:t>
      </w:r>
      <w:r w:rsidR="003E3A73">
        <w:t>is</w:t>
      </w:r>
      <w:r w:rsidR="00497CFF">
        <w:t xml:space="preserve"> </w:t>
      </w:r>
      <w:r w:rsidR="006B4CFB">
        <w:t>focused on</w:t>
      </w:r>
      <w:r w:rsidR="00277D76">
        <w:t xml:space="preserve"> the geological disposal facility</w:t>
      </w:r>
      <w:r w:rsidR="006B4CFB">
        <w:t xml:space="preserve"> (GDF</w:t>
      </w:r>
      <w:r w:rsidR="008B14DA">
        <w:t>) and</w:t>
      </w:r>
      <w:r w:rsidR="007A0AB1">
        <w:t xml:space="preserve">stretches the imagination of what will be needed for </w:t>
      </w:r>
      <w:r w:rsidR="00277D76">
        <w:t>potentially the</w:t>
      </w:r>
      <w:r w:rsidR="006B4CFB">
        <w:t xml:space="preserve"> UK’s</w:t>
      </w:r>
      <w:r w:rsidR="00277D76">
        <w:t xml:space="preserve"> largest infrastructural project for the 21</w:t>
      </w:r>
      <w:r w:rsidR="00277D76" w:rsidRPr="00277D76">
        <w:rPr>
          <w:vertAlign w:val="superscript"/>
        </w:rPr>
        <w:t>st</w:t>
      </w:r>
      <w:r>
        <w:t xml:space="preserve"> and 22</w:t>
      </w:r>
      <w:r w:rsidRPr="00E273E0">
        <w:rPr>
          <w:vertAlign w:val="superscript"/>
        </w:rPr>
        <w:t>nd</w:t>
      </w:r>
      <w:r w:rsidR="00277D76">
        <w:t>Centur</w:t>
      </w:r>
      <w:r>
        <w:t>ies</w:t>
      </w:r>
      <w:r w:rsidR="00277D76">
        <w:t xml:space="preserve">. </w:t>
      </w:r>
    </w:p>
    <w:p w:rsidR="00E273E0" w:rsidRDefault="00E273E0" w:rsidP="00E273E0">
      <w:pPr>
        <w:jc w:val="both"/>
      </w:pPr>
      <w:r>
        <w:t>Presentation to be given by Dr Steve Jones CEng, FWeldI</w:t>
      </w:r>
    </w:p>
    <w:p w:rsidR="00F325DF" w:rsidRDefault="00E273E0" w:rsidP="00E273E0">
      <w:pPr>
        <w:jc w:val="both"/>
      </w:pPr>
      <w:r>
        <w:t>Professor of Welding, Brazing and Bonding technologies – University of Sheffield</w:t>
      </w:r>
    </w:p>
    <w:p w:rsidR="00E273E0" w:rsidRDefault="00E273E0" w:rsidP="00E273E0">
      <w:pPr>
        <w:jc w:val="both"/>
      </w:pPr>
      <w:r>
        <w:t>The High-Value Manufacturing Catapult Chief Engineer for Joining</w:t>
      </w:r>
    </w:p>
    <w:p w:rsidR="00232BA3" w:rsidRDefault="00E273E0" w:rsidP="003D7DF2">
      <w:pPr>
        <w:jc w:val="both"/>
      </w:pPr>
      <w:r w:rsidRPr="00E273E0">
        <w:rPr>
          <w:rFonts w:cstheme="minorHAnsi"/>
        </w:rPr>
        <w:t xml:space="preserve">Nuclear Waste Services – Research Support Office’s  GDF Advanced Manufacturing Discipline Lead </w:t>
      </w:r>
    </w:p>
    <w:sectPr w:rsidR="00232BA3" w:rsidSect="007A0A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041" w:bottom="993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2B" w:rsidRDefault="0037382B" w:rsidP="00D17ED1">
      <w:pPr>
        <w:spacing w:line="240" w:lineRule="auto"/>
      </w:pPr>
      <w:r>
        <w:separator/>
      </w:r>
    </w:p>
  </w:endnote>
  <w:endnote w:type="continuationSeparator" w:id="0">
    <w:p w:rsidR="0037382B" w:rsidRDefault="0037382B" w:rsidP="00D17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BF" w:rsidRDefault="00831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F2" w:rsidRDefault="003D7DF2" w:rsidP="003D7DF2">
    <w:pPr>
      <w:pStyle w:val="Footer"/>
      <w:jc w:val="center"/>
    </w:pPr>
    <w:r>
      <w:t>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BF" w:rsidRDefault="00831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2B" w:rsidRDefault="0037382B" w:rsidP="00D17ED1">
      <w:pPr>
        <w:spacing w:line="240" w:lineRule="auto"/>
      </w:pPr>
      <w:r>
        <w:separator/>
      </w:r>
    </w:p>
  </w:footnote>
  <w:footnote w:type="continuationSeparator" w:id="0">
    <w:p w:rsidR="0037382B" w:rsidRDefault="0037382B" w:rsidP="00D17E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BF" w:rsidRDefault="00831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ED1" w:rsidRDefault="00D97707" w:rsidP="00D17ED1">
    <w:pPr>
      <w:pStyle w:val="Header"/>
      <w:jc w:val="center"/>
      <w:rPr>
        <w:sz w:val="32"/>
        <w:szCs w:val="32"/>
      </w:rPr>
    </w:pPr>
    <w:sdt>
      <w:sdtPr>
        <w:rPr>
          <w:sz w:val="52"/>
          <w:szCs w:val="52"/>
          <w:u w:val="single"/>
        </w:rPr>
        <w:id w:val="-223135524"/>
        <w:docPartObj>
          <w:docPartGallery w:val="Watermarks"/>
          <w:docPartUnique/>
        </w:docPartObj>
      </w:sdtPr>
      <w:sdtEndPr/>
      <w:sdtContent>
        <w:r>
          <w:rPr>
            <w:noProof/>
            <w:sz w:val="52"/>
            <w:szCs w:val="52"/>
            <w:u w:val="single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17ED1" w:rsidRPr="00D17ED1">
      <w:rPr>
        <w:sz w:val="52"/>
        <w:szCs w:val="52"/>
        <w:u w:val="single"/>
      </w:rPr>
      <w:t>S</w:t>
    </w:r>
    <w:r w:rsidR="00D17ED1" w:rsidRPr="00D17ED1">
      <w:rPr>
        <w:sz w:val="32"/>
        <w:szCs w:val="32"/>
      </w:rPr>
      <w:t>pecialised</w:t>
    </w:r>
    <w:r w:rsidR="00D17ED1" w:rsidRPr="00D17ED1">
      <w:rPr>
        <w:sz w:val="52"/>
        <w:szCs w:val="52"/>
        <w:u w:val="single"/>
      </w:rPr>
      <w:t>K</w:t>
    </w:r>
    <w:r w:rsidR="00D17ED1" w:rsidRPr="00D17ED1">
      <w:rPr>
        <w:sz w:val="32"/>
        <w:szCs w:val="32"/>
      </w:rPr>
      <w:t>nowledge</w:t>
    </w:r>
    <w:r w:rsidR="00232BA3">
      <w:rPr>
        <w:sz w:val="40"/>
        <w:szCs w:val="40"/>
      </w:rPr>
      <w:t>for</w:t>
    </w:r>
    <w:r w:rsidR="00D17ED1" w:rsidRPr="00D17ED1">
      <w:rPr>
        <w:sz w:val="52"/>
        <w:szCs w:val="52"/>
        <w:u w:val="single"/>
      </w:rPr>
      <w:t>I</w:t>
    </w:r>
    <w:r w:rsidR="00D17ED1" w:rsidRPr="00D17ED1">
      <w:rPr>
        <w:sz w:val="32"/>
        <w:szCs w:val="32"/>
      </w:rPr>
      <w:t>ncreasing</w:t>
    </w:r>
    <w:r w:rsidR="00D17ED1" w:rsidRPr="00D17ED1">
      <w:rPr>
        <w:sz w:val="52"/>
        <w:szCs w:val="52"/>
        <w:u w:val="single"/>
      </w:rPr>
      <w:t>L</w:t>
    </w:r>
    <w:r w:rsidR="00D17ED1" w:rsidRPr="00D17ED1">
      <w:rPr>
        <w:sz w:val="32"/>
        <w:szCs w:val="32"/>
      </w:rPr>
      <w:t>ife-</w:t>
    </w:r>
    <w:r w:rsidR="00D17ED1">
      <w:rPr>
        <w:sz w:val="52"/>
        <w:szCs w:val="52"/>
        <w:u w:val="single"/>
      </w:rPr>
      <w:t>L</w:t>
    </w:r>
    <w:r w:rsidR="00D17ED1" w:rsidRPr="00D17ED1">
      <w:rPr>
        <w:sz w:val="32"/>
        <w:szCs w:val="32"/>
      </w:rPr>
      <w:t>ong</w:t>
    </w:r>
    <w:r w:rsidR="00232BA3">
      <w:rPr>
        <w:sz w:val="40"/>
        <w:szCs w:val="40"/>
      </w:rPr>
      <w:t xml:space="preserve">career </w:t>
    </w:r>
    <w:r w:rsidR="00D17ED1" w:rsidRPr="00D17ED1">
      <w:rPr>
        <w:sz w:val="52"/>
        <w:szCs w:val="52"/>
        <w:u w:val="single"/>
      </w:rPr>
      <w:t>S</w:t>
    </w:r>
    <w:r w:rsidR="00D17ED1" w:rsidRPr="00D17ED1">
      <w:rPr>
        <w:sz w:val="32"/>
        <w:szCs w:val="32"/>
      </w:rPr>
      <w:t>ecurity</w:t>
    </w:r>
  </w:p>
  <w:p w:rsidR="00D17ED1" w:rsidRPr="00D17ED1" w:rsidRDefault="00D17ED1" w:rsidP="00D17ED1">
    <w:pPr>
      <w:pStyle w:val="Header"/>
      <w:jc w:val="center"/>
      <w:rPr>
        <w:sz w:val="40"/>
        <w:szCs w:val="40"/>
      </w:rPr>
    </w:pPr>
    <w:r>
      <w:rPr>
        <w:sz w:val="32"/>
        <w:szCs w:val="32"/>
      </w:rPr>
      <w:t>SKILLS required to meet the UK’s Net Zero target by 2050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BF" w:rsidRDefault="00831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79D"/>
    <w:multiLevelType w:val="hybridMultilevel"/>
    <w:tmpl w:val="BC28B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57348"/>
    <w:multiLevelType w:val="hybridMultilevel"/>
    <w:tmpl w:val="CE1EF0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79"/>
    <w:rsid w:val="00084037"/>
    <w:rsid w:val="001A4972"/>
    <w:rsid w:val="00232BA3"/>
    <w:rsid w:val="00277D76"/>
    <w:rsid w:val="0037382B"/>
    <w:rsid w:val="003A0C6E"/>
    <w:rsid w:val="003D7DF2"/>
    <w:rsid w:val="003E3A73"/>
    <w:rsid w:val="003E70F6"/>
    <w:rsid w:val="004556F1"/>
    <w:rsid w:val="00497CFF"/>
    <w:rsid w:val="004A2365"/>
    <w:rsid w:val="00501809"/>
    <w:rsid w:val="005A70CC"/>
    <w:rsid w:val="006B4CFB"/>
    <w:rsid w:val="0075493E"/>
    <w:rsid w:val="00766187"/>
    <w:rsid w:val="007A0AB1"/>
    <w:rsid w:val="007A0C4B"/>
    <w:rsid w:val="008312BF"/>
    <w:rsid w:val="008B14DA"/>
    <w:rsid w:val="008B6D79"/>
    <w:rsid w:val="00917DCB"/>
    <w:rsid w:val="009C1477"/>
    <w:rsid w:val="00B214AA"/>
    <w:rsid w:val="00B8305C"/>
    <w:rsid w:val="00C60706"/>
    <w:rsid w:val="00C924E8"/>
    <w:rsid w:val="00D17ED1"/>
    <w:rsid w:val="00D97707"/>
    <w:rsid w:val="00E273E0"/>
    <w:rsid w:val="00ED617F"/>
    <w:rsid w:val="00F325DF"/>
    <w:rsid w:val="00FA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5:docId w15:val="{C776E37B-7D25-4343-A9C3-21099470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93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E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ED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7E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ED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F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Jones</dc:creator>
  <cp:lastModifiedBy>Kate Day</cp:lastModifiedBy>
  <cp:revision>2</cp:revision>
  <dcterms:created xsi:type="dcterms:W3CDTF">2023-02-01T14:41:00Z</dcterms:created>
  <dcterms:modified xsi:type="dcterms:W3CDTF">2023-02-01T14:41:00Z</dcterms:modified>
</cp:coreProperties>
</file>